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/>
      </w:pPr>
      <w:r>
        <w:rPr>
          <w:rFonts w:ascii="Arial" w:cs="Arial" w:eastAsia="Arial" w:hAnsi="Arial"/>
          <w:b/>
          <w:bCs/>
          <w:color w:val="2D5550"/>
          <w:spacing w:val="300"/>
          <w:sz w:val="20"/>
          <w:szCs w:val="20"/>
        </w:rPr>
        <w:t xml:space="preserve">MEDLAS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2D5550"/>
          <w:sz w:val="52"/>
          <w:szCs w:val="52"/>
        </w:rPr>
        <w:t xml:space="preserve">Understanding Meta-Analysis</w:t>
      </w:r>
    </w:p>
    <w:p>
      <w:pPr>
        <w:spacing w:after="600"/>
      </w:pPr>
      <w:r>
        <w:rPr>
          <w:rFonts w:ascii="Arial" w:cs="Arial" w:eastAsia="Arial" w:hAnsi="Arial"/>
          <w:color w:val="607A75"/>
          <w:sz w:val="26"/>
          <w:szCs w:val="26"/>
        </w:rPr>
        <w:t xml:space="preserve">A beginner's guide — from concept to reading and contributing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7F5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D5550"/>
                <w:sz w:val="22"/>
                <w:szCs w:val="22"/>
              </w:rPr>
              <w:t xml:space="preserve">Who this guide is for</w:t>
            </w:r>
          </w:p>
          <w:p>
            <w:pPr>
              <w:spacing w:line="340"/>
            </w:pPr>
            <w:r>
              <w:rPr>
                <w:rFonts w:ascii="Arial" w:cs="Arial" w:eastAsia="Arial" w:hAnsi="Arial"/>
                <w:color w:val="1A2E2A"/>
                <w:sz w:val="22"/>
                <w:szCs w:val="22"/>
              </w:rPr>
              <w:t xml:space="preserve">Medical students and junior doctors who want to understand what a meta-analysis is, how to read one, and how to contribute to one as part of a research team. This is an advanced research method — this guide demystifies it without requiring a statistics background.</w:t>
            </w:r>
          </w:p>
        </w:tc>
      </w:tr>
    </w:tbl>
    <w:p>
      <w:r>
        <w:br w:type="page"/>
      </w:r>
    </w:p>
    <w:p>
      <w:pPr>
        <w:pBdr>
          <w:bottom w:val="single" w:color="B5CCC6" w:sz="6" w:space="1"/>
        </w:pBdr>
        <w:spacing w:after="160" w:before="480"/>
      </w:pPr>
      <w:r>
        <w:rPr>
          <w:rFonts w:ascii="Arial" w:cs="Arial" w:eastAsia="Arial" w:hAnsi="Arial"/>
          <w:b/>
          <w:bCs/>
          <w:color w:val="2D5550"/>
          <w:sz w:val="36"/>
          <w:szCs w:val="36"/>
        </w:rPr>
        <w:t xml:space="preserve">1. What is a meta-analysis?</w:t>
      </w:r>
    </w:p>
    <w:p>
      <w:pPr>
        <w:spacing w:after="16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A meta-analysis is a statistical method that combines the numerical results of multiple independent studies to produce one overall, pooled estimate. It is always conducted as part of a systematic review.</w:t>
      </w:r>
    </w:p>
    <w:p>
      <w:pPr>
        <w:spacing w:after="120"/>
      </w:pPr>
      <w:r>
        <w:t xml:space="preserve"/>
      </w:r>
    </w:p>
    <w:p>
      <w:pPr>
        <w:spacing w:after="16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Think of it this way. Imagine ten separate studies have all looked at whether a drug reduces blood pressure. Some studies found it worked well, some found it worked a little, and some found no effect. Each study had different numbers of patients. A meta-analysis combines all ten studies into one analysis — giving each study a 'weight' based on its size and precision — and calculates a single, more reliable answer.</w:t>
      </w:r>
    </w:p>
    <w:p>
      <w:pPr>
        <w:spacing w:after="120"/>
      </w:pPr>
      <w:r>
        <w:t xml:space="preserve"/>
      </w:r>
    </w:p>
    <w:tbl>
      <w:tblPr>
        <w:tblW w:type="dxa" w:w="9026"/>
        <w:tblBorders>
          <w:top w:val="single" w:color="B5CCC6" w:sz="6"/>
          <w:left w:val="single" w:color="B5CCC6" w:sz="12"/>
          <w:bottom w:val="single" w:color="B5CCC6" w:sz="1"/>
          <w:right w:val="single" w:color="B5CCC6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7F5" w:val="clear"/>
            <w:tcMar>
              <w:top w:type="dxa" w:w="80"/>
              <w:left w:type="dxa" w:w="200"/>
              <w:bottom w:type="dxa" w:w="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D5550"/>
                <w:sz w:val="22"/>
                <w:szCs w:val="22"/>
              </w:rPr>
              <w:t xml:space="preserve">Why is it more reliable than a single study?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7F5" w:val="clear"/>
            <w:tcMar>
              <w:top w:type="dxa" w:w="40"/>
              <w:left w:type="dxa" w:w="200"/>
              <w:bottom w:type="dxa" w:w="120"/>
              <w:right w:type="dxa" w:w="200"/>
            </w:tcMar>
          </w:tcPr>
          <w:p>
            <w:pPr>
              <w:spacing w:line="340"/>
            </w:pPr>
            <w:r>
              <w:rPr>
                <w:rFonts w:ascii="Arial" w:cs="Arial" w:eastAsia="Arial" w:hAnsi="Arial"/>
                <w:color w:val="1A2E2A"/>
                <w:sz w:val="22"/>
                <w:szCs w:val="22"/>
              </w:rPr>
              <w:t xml:space="preserve">Each individual study has a limited number of patients, which means its results are subject to chance. By combining multiple studies, a meta-analysis dramatically increases the total number of patients analysed, giving more statistical power and a more precise estimate of the true effect. It is the reason meta-analyses sit at the very top of the evidence hierarchy.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6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A meta-analysis is NOT always possible or appropriate. It requires: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Multiple studies asking the same question in a similar way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Compatible outcome measures that can be combined statistically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Studies that are similar enough that combining them makes clinical sense</w:t>
      </w:r>
    </w:p>
    <w:p>
      <w:pPr>
        <w:spacing w:after="120"/>
      </w:pPr>
      <w:r>
        <w:t xml:space="preserve"/>
      </w:r>
    </w:p>
    <w:p>
      <w:pPr>
        <w:spacing w:after="16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When studies are too different to combine, you write a narrative synthesis instead. This is a legitimate and sometimes better choice — do not feel obligated to do a meta-analysis if the data does not support it.</w:t>
      </w:r>
    </w:p>
    <w:p>
      <w:pPr>
        <w:spacing w:after="120"/>
      </w:pPr>
      <w:r>
        <w:t xml:space="preserve"/>
      </w:r>
    </w:p>
    <w:p>
      <w:r>
        <w:br w:type="page"/>
      </w:r>
    </w:p>
    <w:p>
      <w:pPr>
        <w:pBdr>
          <w:bottom w:val="single" w:color="B5CCC6" w:sz="6" w:space="1"/>
        </w:pBdr>
        <w:spacing w:after="160" w:before="480"/>
      </w:pPr>
      <w:r>
        <w:rPr>
          <w:rFonts w:ascii="Arial" w:cs="Arial" w:eastAsia="Arial" w:hAnsi="Arial"/>
          <w:b/>
          <w:bCs/>
          <w:color w:val="2D5550"/>
          <w:sz w:val="36"/>
          <w:szCs w:val="36"/>
        </w:rPr>
        <w:t xml:space="preserve">2. Key concepts explained simply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5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Term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5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Plain English explanation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Effect size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The number that represents how big the effect of an intervention is. Could be a mean difference (e.g. 5 mmHg reduction in blood pressure), a risk ratio, or an odds ratio.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Confidence interval (CI)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A range of values within which the true effect is likely to fall. A 95% CI means we are 95% confident the true effect lies within this range. Narrower = more precise.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Weight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In a meta-analysis, larger and more precise studies are given more influence over the final result. This is called weighting by the inverse variance.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Pooled estimate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The single combined result from all included studies — the 'answer' of the meta-analysis.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Heterogeneity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How different the results of the included studies are from each other. High heterogeneity means the studies are inconsistent — combining them may not be meaningful.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I² statistic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A number between 0% and 100% that quantifies heterogeneity. I²&lt;25% is low (consistent studies), 25–75% is moderate, &gt;75% is high (very inconsistent studies).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Fixed-effects model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Assumes all studies are estimating the same true effect. Used when heterogeneity is low.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Random-effects model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Assumes each study may estimate a slightly different true effect. More conservative and more commonly used, especially when I² is moderate or high.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Forest plot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The graph that displays the results of a meta-analysis — one row per study, showing each study's result and the pooled estimate at the bottom.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Publication bias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The tendency for studies with positive results to get published more than studies with negative results. This distorts meta-analyses. Assessed using funnel plots.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Funnel plot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A scatter plot used to check for publication bias. An asymmetric funnel suggests bias.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Odds ratio (OR)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The ratio of the odds of an outcome in the treatment group to the odds in the control group. OR=1 means no difference. OR&gt;1 means more likely in the treatment group. OR&lt;1 means less likely.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Risk ratio / Relative risk (RR)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The ratio of the risk of an outcome in the treatment group to the risk in the control group. Interpreted similarly to OR.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Mean difference (MD)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Used for continuous outcomes (e.g. blood pressure, weight). Represents the average difference between groups in the same units as the measurement.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Standardised mean difference (SMD)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Used when different studies measure the same outcome with different scales. Converts all studies to a common unit.</w:t>
            </w:r>
          </w:p>
        </w:tc>
      </w:tr>
    </w:tbl>
    <w:p>
      <w:pPr>
        <w:spacing w:after="120"/>
      </w:pPr>
      <w:r>
        <w:t xml:space="preserve"/>
      </w:r>
    </w:p>
    <w:p>
      <w:r>
        <w:br w:type="page"/>
      </w:r>
    </w:p>
    <w:p>
      <w:pPr>
        <w:pBdr>
          <w:bottom w:val="single" w:color="B5CCC6" w:sz="6" w:space="1"/>
        </w:pBdr>
        <w:spacing w:after="160" w:before="480"/>
      </w:pPr>
      <w:r>
        <w:rPr>
          <w:rFonts w:ascii="Arial" w:cs="Arial" w:eastAsia="Arial" w:hAnsi="Arial"/>
          <w:b/>
          <w:bCs/>
          <w:color w:val="2D5550"/>
          <w:sz w:val="36"/>
          <w:szCs w:val="36"/>
        </w:rPr>
        <w:t xml:space="preserve">3. How to read a forest plot</w:t>
      </w:r>
    </w:p>
    <w:p>
      <w:pPr>
        <w:spacing w:after="16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The forest plot is the defining output of a meta-analysis. Understanding how to read one is an essential skill — for journal clubs, for clinical practice, and for your own research. Here is a step-by-step guide.</w:t>
      </w:r>
    </w:p>
    <w:p>
      <w:pPr>
        <w:spacing w:after="120"/>
      </w:pPr>
      <w:r>
        <w:t xml:space="preserve"/>
      </w:r>
    </w:p>
    <w:p>
      <w:pPr>
        <w:spacing w:after="140" w:before="320"/>
      </w:pPr>
      <w:r>
        <w:rPr>
          <w:rFonts w:ascii="Arial" w:cs="Arial" w:eastAsia="Arial" w:hAnsi="Arial"/>
          <w:b/>
          <w:bCs/>
          <w:color w:val="2D5550"/>
          <w:sz w:val="28"/>
          <w:szCs w:val="28"/>
        </w:rPr>
        <w:t xml:space="preserve">What you will see on a forest plot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Left column — the names of all included studies, usually listed as first author and year (e.g. 'Smith 2019')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Middle columns — the numerical data from each study (number of events, sample sizes, effect sizes)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Weight column — the percentage contribution of each study to the pooled estimate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Effect size column — the effect size and confidence interval for each study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Graph — a visual representation of each study's result</w:t>
      </w:r>
    </w:p>
    <w:p>
      <w:pPr>
        <w:spacing w:after="120"/>
      </w:pPr>
      <w:r>
        <w:t xml:space="preserve"/>
      </w:r>
    </w:p>
    <w:p>
      <w:pPr>
        <w:spacing w:after="140" w:before="320"/>
      </w:pPr>
      <w:r>
        <w:rPr>
          <w:rFonts w:ascii="Arial" w:cs="Arial" w:eastAsia="Arial" w:hAnsi="Arial"/>
          <w:b/>
          <w:bCs/>
          <w:color w:val="2D5550"/>
          <w:sz w:val="28"/>
          <w:szCs w:val="28"/>
        </w:rPr>
        <w:t xml:space="preserve">The graph itself</w:t>
      </w:r>
    </w:p>
    <w:p>
      <w:pPr>
        <w:spacing w:after="16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Each study is represented by a square (or diamond) on a horizontal line: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The square represents the effect size (the result) of that study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The size of the square represents the weight of that study — bigger square = more weight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The horizontal line through the square represents the confidence interval — shorter line = more precise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The vertical line in the middle of the graph is the 'line of no effect' — OR or RR of 1.0 for ratio outcomes, or 0 for mean differences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If a confidence interval crosses the line of no effect, that study's result is not statistically significant</w:t>
      </w:r>
    </w:p>
    <w:p>
      <w:pPr>
        <w:spacing w:after="120"/>
      </w:pPr>
      <w:r>
        <w:t xml:space="preserve"/>
      </w:r>
    </w:p>
    <w:p>
      <w:pPr>
        <w:spacing w:after="140" w:before="320"/>
      </w:pPr>
      <w:r>
        <w:rPr>
          <w:rFonts w:ascii="Arial" w:cs="Arial" w:eastAsia="Arial" w:hAnsi="Arial"/>
          <w:b/>
          <w:bCs/>
          <w:color w:val="2D5550"/>
          <w:sz w:val="28"/>
          <w:szCs w:val="28"/>
        </w:rPr>
        <w:t xml:space="preserve">The diamond at the bottom</w:t>
      </w:r>
    </w:p>
    <w:p>
      <w:pPr>
        <w:spacing w:after="16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The diamond at the bottom of the forest plot represents the pooled result of the meta-analysis — the combined answer.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The centre of the diamond is the pooled effect size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The width of the diamond represents the confidence interval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If the diamond crosses the line of no effect, the overall result is not statistically significant</w:t>
      </w:r>
    </w:p>
    <w:p>
      <w:pPr>
        <w:spacing w:after="120"/>
      </w:pPr>
      <w:r>
        <w:t xml:space="preserve"/>
      </w:r>
    </w:p>
    <w:tbl>
      <w:tblPr>
        <w:tblW w:type="dxa" w:w="9026"/>
        <w:tblBorders>
          <w:top w:val="single" w:color="B5CCC6" w:sz="6"/>
          <w:left w:val="single" w:color="B5CCC6" w:sz="12"/>
          <w:bottom w:val="single" w:color="B5CCC6" w:sz="1"/>
          <w:right w:val="single" w:color="B5CCC6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7F5" w:val="clear"/>
            <w:tcMar>
              <w:top w:type="dxa" w:w="80"/>
              <w:left w:type="dxa" w:w="200"/>
              <w:bottom w:type="dxa" w:w="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D5550"/>
                <w:sz w:val="22"/>
                <w:szCs w:val="22"/>
              </w:rPr>
              <w:t xml:space="preserve">How to interpret a forest plot in four steps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7F5" w:val="clear"/>
            <w:tcMar>
              <w:top w:type="dxa" w:w="40"/>
              <w:left w:type="dxa" w:w="200"/>
              <w:bottom w:type="dxa" w:w="120"/>
              <w:right w:type="dxa" w:w="200"/>
            </w:tcMar>
          </w:tcPr>
          <w:p>
            <w:pPr>
              <w:spacing w:line="340"/>
            </w:pPr>
            <w:r>
              <w:rPr>
                <w:rFonts w:ascii="Arial" w:cs="Arial" w:eastAsia="Arial" w:hAnsi="Arial"/>
                <w:color w:val="1A2E2A"/>
                <w:sz w:val="22"/>
                <w:szCs w:val="22"/>
              </w:rPr>
              <w:t xml:space="preserve">Step 1 — What are you looking at? Read the title and outcome label to understand what is being measured and what direction of effect means 'benefit'.
Step 2 — Are the studies consistent? Look at whether the squares are clustered together or spread widely. Wide spread suggests heterogeneity. Check the I² value.
Step 3 — What does the diamond show? If the diamond is to the left of the line of no effect (for OR/RR), the intervention reduces risk. If it is to the right, it increases risk. If it crosses the line, the result is not significant.
Step 4 — How confident should I be? Check the width of the diamond's confidence interval. Narrow = precise = confident. Wide = imprecise = cautious.</w:t>
            </w:r>
          </w:p>
        </w:tc>
      </w:tr>
    </w:tbl>
    <w:p>
      <w:pPr>
        <w:spacing w:after="120"/>
      </w:pPr>
      <w:r>
        <w:t xml:space="preserve"/>
      </w:r>
    </w:p>
    <w:p>
      <w:r>
        <w:br w:type="page"/>
      </w:r>
    </w:p>
    <w:p>
      <w:pPr>
        <w:pBdr>
          <w:bottom w:val="single" w:color="B5CCC6" w:sz="6" w:space="1"/>
        </w:pBdr>
        <w:spacing w:after="160" w:before="480"/>
      </w:pPr>
      <w:r>
        <w:rPr>
          <w:rFonts w:ascii="Arial" w:cs="Arial" w:eastAsia="Arial" w:hAnsi="Arial"/>
          <w:b/>
          <w:bCs/>
          <w:color w:val="2D5550"/>
          <w:sz w:val="36"/>
          <w:szCs w:val="36"/>
        </w:rPr>
        <w:t xml:space="preserve">4. How students can contribute to a meta-analysis</w:t>
      </w:r>
    </w:p>
    <w:p>
      <w:pPr>
        <w:spacing w:after="16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You are unlikely to lead a meta-analysis as a first or second year student — they require statistical knowledge and usually a supervisor. However, there are meaningful ways to contribute:</w:t>
      </w:r>
    </w:p>
    <w:p>
      <w:pPr>
        <w:spacing w:after="120"/>
      </w:pPr>
      <w:r>
        <w:t xml:space="preserve"/>
      </w:r>
    </w:p>
    <w:p>
      <w:pPr>
        <w:spacing w:after="140" w:before="320"/>
      </w:pPr>
      <w:r>
        <w:rPr>
          <w:rFonts w:ascii="Arial" w:cs="Arial" w:eastAsia="Arial" w:hAnsi="Arial"/>
          <w:b/>
          <w:bCs/>
          <w:color w:val="2D5550"/>
          <w:sz w:val="28"/>
          <w:szCs w:val="28"/>
        </w:rPr>
        <w:t xml:space="preserve">As part of a research team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Title and abstract screening — one of the most labour-intensive parts. Teams need multiple screeners. You can join an existing meta-analysis team as a screener, gain authorship credit, and learn the process from the inside.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Full-text screening — reading the complete papers and applying inclusion criteria. Requires more attention but still accessible to students.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Data extraction — pulling the key numbers from each included paper into a standardised table. This is systematic, learnable, and genuinely valuable.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Risk of bias assessment — using tools like Cochrane RoB 2 to assess the quality of included studies. Fully learnable from the tool's guidance document.</w:t>
      </w:r>
    </w:p>
    <w:p>
      <w:pPr>
        <w:spacing w:after="120"/>
      </w:pPr>
      <w:r>
        <w:t xml:space="preserve"/>
      </w:r>
    </w:p>
    <w:p>
      <w:pPr>
        <w:spacing w:after="140" w:before="320"/>
      </w:pPr>
      <w:r>
        <w:rPr>
          <w:rFonts w:ascii="Arial" w:cs="Arial" w:eastAsia="Arial" w:hAnsi="Arial"/>
          <w:b/>
          <w:bCs/>
          <w:color w:val="2D5550"/>
          <w:sz w:val="28"/>
          <w:szCs w:val="28"/>
        </w:rPr>
        <w:t xml:space="preserve">Finding meta-analysis teams to join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Look for open calls on Twitter/X under hashtags like #MetaAnalysis, #SystematicReview, #MedStudentResearch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Check Cochrane's website — they run collaborative reviews and welcome contributors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Ask your supervisor or a registrar in your specialty of interest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Approach the corresponding author of a recently published systematic review to ask if they are planning an update</w:t>
      </w:r>
    </w:p>
    <w:p>
      <w:pPr>
        <w:spacing w:after="120"/>
      </w:pPr>
      <w:r>
        <w:t xml:space="preserve"/>
      </w:r>
    </w:p>
    <w:tbl>
      <w:tblPr>
        <w:tblW w:type="dxa" w:w="9026"/>
        <w:tblBorders>
          <w:top w:val="single" w:color="B5CCC6" w:sz="6"/>
          <w:left w:val="single" w:color="B5CCC6" w:sz="12"/>
          <w:bottom w:val="single" w:color="B5CCC6" w:sz="1"/>
          <w:right w:val="single" w:color="B5CCC6" w:sz="1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7F5" w:val="clear"/>
            <w:tcMar>
              <w:top w:type="dxa" w:w="80"/>
              <w:left w:type="dxa" w:w="200"/>
              <w:bottom w:type="dxa" w:w="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D5550"/>
                <w:sz w:val="22"/>
                <w:szCs w:val="22"/>
              </w:rPr>
              <w:t xml:space="preserve">What software is used?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7F5" w:val="clear"/>
            <w:tcMar>
              <w:top w:type="dxa" w:w="40"/>
              <w:left w:type="dxa" w:w="200"/>
              <w:bottom w:type="dxa" w:w="120"/>
              <w:right w:type="dxa" w:w="200"/>
            </w:tcMar>
          </w:tcPr>
          <w:p>
            <w:pPr>
              <w:spacing w:line="340"/>
            </w:pPr>
            <w:r>
              <w:rPr>
                <w:rFonts w:ascii="Arial" w:cs="Arial" w:eastAsia="Arial" w:hAnsi="Arial"/>
                <w:color w:val="1A2E2A"/>
                <w:sz w:val="22"/>
                <w:szCs w:val="22"/>
              </w:rPr>
              <w:t xml:space="preserve">RevMan (Review Manager) — free software from Cochrane, the most commonly used tool for meta-analyses in clinical medicine. It generates forest plots and manages the entire analysis. R with the 'meta' package — more flexible and increasingly popular. STATA and SPSS — used in more complex analyses. For your first meta-analysis, RevMan is the best starting point.</w:t>
            </w:r>
          </w:p>
        </w:tc>
      </w:tr>
    </w:tbl>
    <w:p>
      <w:pPr>
        <w:spacing w:after="120"/>
      </w:pPr>
      <w:r>
        <w:t xml:space="preserve"/>
      </w:r>
    </w:p>
    <w:p>
      <w:r>
        <w:br w:type="page"/>
      </w:r>
    </w:p>
    <w:p>
      <w:pPr>
        <w:pBdr>
          <w:bottom w:val="single" w:color="B5CCC6" w:sz="6" w:space="1"/>
        </w:pBdr>
        <w:spacing w:after="160" w:before="480"/>
      </w:pPr>
      <w:r>
        <w:rPr>
          <w:rFonts w:ascii="Arial" w:cs="Arial" w:eastAsia="Arial" w:hAnsi="Arial"/>
          <w:b/>
          <w:bCs/>
          <w:color w:val="2D5550"/>
          <w:sz w:val="36"/>
          <w:szCs w:val="36"/>
        </w:rPr>
        <w:t xml:space="preserve">5. Step-by-step process for conducting a meta-analysis</w:t>
      </w:r>
    </w:p>
    <w:p>
      <w:pPr>
        <w:spacing w:after="16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This is a condensed overview. You should conduct a meta-analysis as part of a systematic review — follow all the steps in the systematic review guide first, then use these steps for the statistical component.</w:t>
      </w:r>
    </w:p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Complete your systematic review up to data extraction. You must have a clean, complete data extraction table before any statistics.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Decide whether a meta-analysis is appropriate. If your included studies used very different populations, interventions, or outcome measures, a narrative synthesis may be better. Discuss with your supervisor.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Choose your effect measure. For binary outcomes (did the event happen or not?) use OR or RR. For continuous outcomes (blood pressure, weight, pain score) use mean difference or SMD.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Enter your data into RevMan. Input the numbers from your data extraction table — RevMan calculates the rest automatically.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Assess heterogeneity. Look at your I² value. If I²&gt;50%, consider subgroup analyses or a narrative synthesis instead.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Choose your model. If heterogeneity is low, a fixed-effects model is appropriate. If heterogeneity is moderate or high, use a random-effects model.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Generate your forest plot. RevMan produces this automatically once data is entered.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Assess publication bias. If you have 10 or more studies, generate a funnel plot and assess for asymmetry.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Report your results using PRISMA guidelines. Your forest plot, I² value, pooled effect size, confidence interval, and publication bias assessment must all be reported.</w:t>
      </w:r>
    </w:p>
    <w:p>
      <w:pPr>
        <w:spacing w:after="120"/>
      </w:pPr>
      <w:r>
        <w:t xml:space="preserve"/>
      </w:r>
    </w:p>
    <w:p>
      <w:r>
        <w:br w:type="page"/>
      </w:r>
    </w:p>
    <w:p>
      <w:pPr>
        <w:pBdr>
          <w:bottom w:val="single" w:color="B5CCC6" w:sz="6" w:space="1"/>
        </w:pBdr>
        <w:spacing w:after="160" w:before="480"/>
      </w:pPr>
      <w:r>
        <w:rPr>
          <w:rFonts w:ascii="Arial" w:cs="Arial" w:eastAsia="Arial" w:hAnsi="Arial"/>
          <w:b/>
          <w:bCs/>
          <w:color w:val="2D5550"/>
          <w:sz w:val="36"/>
          <w:szCs w:val="36"/>
        </w:rPr>
        <w:t xml:space="preserve">6. Key statistical terms — quick reference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00"/>
        <w:gridCol w:w="3426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5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Statistic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5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it means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5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How to interpret it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p-value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The probability of getting these results by chance if there is truly no effect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p&lt;0.05 is conventionally 'statistically significant'. p=0.03 means there is a 3% probability these results occurred by chance.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95% confidence interval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The range within which the true effect likely falls (95% of the time)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A CI that does not cross the line of no effect indicates statistical significance. Wider CI = less precise.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I²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The proportion of variability between studies due to true differences rather than chance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0–25% low, 25–75% moderate, &gt;75% high heterogeneity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Odds ratio (OR)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Ratio of odds of outcome in intervention vs control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OR=1: no difference. OR=0.5: 50% lower odds in intervention group. OR=2: twice the odds.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Risk ratio (RR)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Ratio of risk of outcome in intervention vs control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Interpreted same way as OR. RR=0.7 means 30% lower risk in intervention group.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Mean difference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Average difference in a continuous outcome between groups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In the same units as the measurement. MD=-5 mmHg for blood pressure means 5 mmHg lower in treatment group.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Number needed to treat (NNT)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How many patients need to be treated for one additional patient to benefit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E2A"/>
                <w:sz w:val="20"/>
                <w:szCs w:val="20"/>
              </w:rPr>
              <w:t xml:space="preserve">NNT=10 means you treat 10 patients to prevent one bad outcome. Lower = better.</w:t>
            </w:r>
          </w:p>
        </w:tc>
      </w:tr>
    </w:tbl>
    <w:p>
      <w:pPr>
        <w:spacing w:after="120"/>
      </w:pPr>
      <w:r>
        <w:t xml:space="preserve"/>
      </w:r>
    </w:p>
    <w:p>
      <w:r>
        <w:br w:type="page"/>
      </w:r>
    </w:p>
    <w:p>
      <w:pPr>
        <w:pBdr>
          <w:bottom w:val="single" w:color="B5CCC6" w:sz="6" w:space="1"/>
        </w:pBdr>
        <w:spacing w:after="160" w:before="480"/>
      </w:pPr>
      <w:r>
        <w:rPr>
          <w:rFonts w:ascii="Arial" w:cs="Arial" w:eastAsia="Arial" w:hAnsi="Arial"/>
          <w:b/>
          <w:bCs/>
          <w:color w:val="2D5550"/>
          <w:sz w:val="36"/>
          <w:szCs w:val="36"/>
        </w:rPr>
        <w:t xml:space="preserve">7. Quick reference checklist — reading a meta-analysis</w:t>
      </w:r>
    </w:p>
    <w:p>
      <w:pPr>
        <w:spacing w:after="16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Use this when critically appraising a meta-analysis paper or presenting at journal club.</w:t>
      </w:r>
    </w:p>
    <w:p>
      <w:pPr>
        <w:spacing w:after="120"/>
      </w:pPr>
      <w:r>
        <w:t xml:space="preserve"/>
      </w:r>
    </w:p>
    <w:p>
      <w:pPr>
        <w:spacing w:after="140" w:before="320"/>
      </w:pPr>
      <w:r>
        <w:rPr>
          <w:rFonts w:ascii="Arial" w:cs="Arial" w:eastAsia="Arial" w:hAnsi="Arial"/>
          <w:b/>
          <w:bCs/>
          <w:color w:val="2D5550"/>
          <w:sz w:val="28"/>
          <w:szCs w:val="28"/>
        </w:rPr>
        <w:t xml:space="preserve">The question and search</w:t>
      </w:r>
    </w:p>
    <w:p>
      <w:pPr>
        <w:spacing w:after="8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☐  Is there a clearly defined PICO question?</w:t>
      </w:r>
    </w:p>
    <w:p>
      <w:pPr>
        <w:spacing w:after="8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☐  Was a protocol registered (e.g. on PROSPERO) before the search was conducted?</w:t>
      </w:r>
    </w:p>
    <w:p>
      <w:pPr>
        <w:spacing w:after="8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☐  Were multiple databases searched?</w:t>
      </w:r>
    </w:p>
    <w:p>
      <w:pPr>
        <w:spacing w:after="8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☐  Was the search strategy clearly reported?</w:t>
      </w:r>
    </w:p>
    <w:p>
      <w:pPr>
        <w:spacing w:after="120"/>
      </w:pPr>
      <w:r>
        <w:t xml:space="preserve"/>
      </w:r>
    </w:p>
    <w:p>
      <w:pPr>
        <w:spacing w:after="140" w:before="320"/>
      </w:pPr>
      <w:r>
        <w:rPr>
          <w:rFonts w:ascii="Arial" w:cs="Arial" w:eastAsia="Arial" w:hAnsi="Arial"/>
          <w:b/>
          <w:bCs/>
          <w:color w:val="2D5550"/>
          <w:sz w:val="28"/>
          <w:szCs w:val="28"/>
        </w:rPr>
        <w:t xml:space="preserve">Study selection</w:t>
      </w:r>
    </w:p>
    <w:p>
      <w:pPr>
        <w:spacing w:after="8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☐  Were inclusion and exclusion criteria clearly defined?</w:t>
      </w:r>
    </w:p>
    <w:p>
      <w:pPr>
        <w:spacing w:after="8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☐  Was screening done by two independent reviewers?</w:t>
      </w:r>
    </w:p>
    <w:p>
      <w:pPr>
        <w:spacing w:after="8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☐  Is a PRISMA flow diagram included showing how many studies were identified, screened, and included?</w:t>
      </w:r>
    </w:p>
    <w:p>
      <w:pPr>
        <w:spacing w:after="120"/>
      </w:pPr>
      <w:r>
        <w:t xml:space="preserve"/>
      </w:r>
    </w:p>
    <w:p>
      <w:pPr>
        <w:spacing w:after="140" w:before="320"/>
      </w:pPr>
      <w:r>
        <w:rPr>
          <w:rFonts w:ascii="Arial" w:cs="Arial" w:eastAsia="Arial" w:hAnsi="Arial"/>
          <w:b/>
          <w:bCs/>
          <w:color w:val="2D5550"/>
          <w:sz w:val="28"/>
          <w:szCs w:val="28"/>
        </w:rPr>
        <w:t xml:space="preserve">The meta-analysis itself</w:t>
      </w:r>
    </w:p>
    <w:p>
      <w:pPr>
        <w:spacing w:after="8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☐  Was risk of bias assessed for each included study?</w:t>
      </w:r>
    </w:p>
    <w:p>
      <w:pPr>
        <w:spacing w:after="8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☐  Was heterogeneity assessed and reported (I² value)?</w:t>
      </w:r>
    </w:p>
    <w:p>
      <w:pPr>
        <w:spacing w:after="8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☐  Was the choice of fixed vs random effects model justified?</w:t>
      </w:r>
    </w:p>
    <w:p>
      <w:pPr>
        <w:spacing w:after="8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☐  Is a forest plot included and clearly labelled?</w:t>
      </w:r>
    </w:p>
    <w:p>
      <w:pPr>
        <w:spacing w:after="8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☐  Was publication bias assessed (funnel plot or statistical test)?</w:t>
      </w:r>
    </w:p>
    <w:p>
      <w:pPr>
        <w:spacing w:after="120"/>
      </w:pPr>
      <w:r>
        <w:t xml:space="preserve"/>
      </w:r>
    </w:p>
    <w:p>
      <w:pPr>
        <w:spacing w:after="140" w:before="320"/>
      </w:pPr>
      <w:r>
        <w:rPr>
          <w:rFonts w:ascii="Arial" w:cs="Arial" w:eastAsia="Arial" w:hAnsi="Arial"/>
          <w:b/>
          <w:bCs/>
          <w:color w:val="2D5550"/>
          <w:sz w:val="28"/>
          <w:szCs w:val="28"/>
        </w:rPr>
        <w:t xml:space="preserve">The conclusions</w:t>
      </w:r>
    </w:p>
    <w:p>
      <w:pPr>
        <w:spacing w:after="8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☐  Do the conclusions match the actual findings — or are they overstated?</w:t>
      </w:r>
    </w:p>
    <w:p>
      <w:pPr>
        <w:spacing w:after="8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☐  Are the limitations of the review clearly acknowledged?</w:t>
      </w:r>
    </w:p>
    <w:p>
      <w:pPr>
        <w:spacing w:after="80" w:line="360"/>
      </w:pPr>
      <w:r>
        <w:rPr>
          <w:rFonts w:ascii="Arial" w:cs="Arial" w:eastAsia="Arial" w:hAnsi="Arial"/>
          <w:color w:val="1A2E2A"/>
          <w:sz w:val="22"/>
          <w:szCs w:val="22"/>
        </w:rPr>
        <w:t xml:space="preserve">☐  Are suggestions for future research included?</w:t>
      </w:r>
    </w:p>
    <w:p>
      <w:pPr>
        <w:spacing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B5CCC6" w:sz="6" w:space="1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20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D5550"/>
                <w:sz w:val="20"/>
                <w:szCs w:val="20"/>
              </w:rPr>
              <w:t xml:space="preserve">Medlas Research Guide Series — Guide 3 — Meta-Analysis</w:t>
            </w:r>
          </w:p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Created by Medlas to support medical students and junior doctors. Always verify guidelines, as requirements evolve. medlas.co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2026-04-08T23:08:07.282Z</dcterms:created>
  <dcterms:modified xsi:type="dcterms:W3CDTF">2026-04-08T23:08:07.282Z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